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0" w:line="264" w:lineRule="auto"/>
      </w:pPr>
      <w:r>
        <w:rPr>
          <w:sz w:val="20"/>
          <w:szCs w:val="20"/>
        </w:rPr>
        <w:t xml:space="preserve">Приложение № ____</w:t>
      </w:r>
    </w:p>
    <w:p>
      <w:pPr>
        <w:spacing w:before="0" w:after="60" w:line="264" w:lineRule="auto"/>
      </w:pPr>
      <w:r>
        <w:rPr>
          <w:sz w:val="20"/>
          <w:szCs w:val="20"/>
        </w:rPr>
        <w:t xml:space="preserve">к извещению об осуществлении закупки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УТВЕРЖДАЮ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Заведующий (директор) _____________________</w:t>
      </w:r>
    </w:p>
    <w:p>
      <w:pPr>
        <w:spacing w:before="0" w:after="0" w:line="264" w:lineRule="auto"/>
        <w:jc w:val="right"/>
      </w:pPr>
      <w:r>
        <w:rPr>
          <w:sz w:val="16"/>
          <w:szCs w:val="16"/>
        </w:rPr>
        <w:t xml:space="preserve">(наименование должности руководителя заказчика)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______________ / _____________________</w:t>
      </w:r>
    </w:p>
    <w:p>
      <w:pPr>
        <w:spacing w:before="0" w:after="0" w:line="264" w:lineRule="auto"/>
        <w:jc w:val="right"/>
      </w:pPr>
      <w:r>
        <w:rPr>
          <w:sz w:val="16"/>
          <w:szCs w:val="16"/>
        </w:rPr>
        <w:t xml:space="preserve">(подпись)              (инициалы, фамилия)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«____» ______________ 20____ г.</w:t>
      </w:r>
    </w:p>
    <w:p>
      <w:pPr>
        <w:spacing w:before="0" w:after="120" w:line="264" w:lineRule="auto"/>
      </w:pPr>
      <w:r>
        <w:t xml:space="preserve"> </w:t>
      </w:r>
    </w:p>
    <w:p>
      <w:pPr>
        <w:spacing w:before="0" w:after="40" w:line="264" w:lineRule="auto"/>
        <w:jc w:val="center"/>
      </w:pPr>
      <w:r>
        <w:rPr>
          <w:b/>
          <w:sz w:val="28"/>
          <w:szCs w:val="28"/>
        </w:rPr>
        <w:t xml:space="preserve">ТЕХНИЧЕСКОЕ ЗАДАНИЕ</w:t>
      </w:r>
    </w:p>
    <w:p>
      <w:pPr>
        <w:spacing w:before="0" w:after="40" w:line="264" w:lineRule="auto"/>
        <w:jc w:val="center"/>
      </w:pPr>
      <w:r>
        <w:rPr>
          <w:sz w:val="22"/>
          <w:szCs w:val="22"/>
        </w:rPr>
        <w:t xml:space="preserve">(описание объекта закупки)</w:t>
      </w:r>
    </w:p>
    <w:p>
      <w:pPr>
        <w:spacing w:before="0" w:after="40" w:line="264" w:lineRule="auto"/>
        <w:jc w:val="center"/>
      </w:pPr>
      <w:r>
        <w:rPr>
          <w:sz w:val="24"/>
          <w:szCs w:val="24"/>
        </w:rPr>
        <w:t xml:space="preserve">на поставку оборудования для оснащения</w:t>
      </w:r>
    </w:p>
    <w:p>
      <w:pPr>
        <w:spacing w:before="0" w:after="160" w:line="264" w:lineRule="auto"/>
        <w:jc w:val="center"/>
      </w:pPr>
      <w:r>
        <w:rPr>
          <w:b/>
          <w:sz w:val="26"/>
          <w:szCs w:val="26"/>
        </w:rPr>
        <w:t xml:space="preserve">«Кабинет психолога»</w:t>
      </w:r>
    </w:p>
    <w:p>
      <w:pPr>
        <w:spacing w:before="80" w:after="60" w:line="264" w:lineRule="auto"/>
        <w:jc w:val="center"/>
      </w:pPr>
      <w:r>
        <w:rPr>
          <w:b/>
          <w:sz w:val="23"/>
          <w:szCs w:val="23"/>
        </w:rPr>
        <w:t xml:space="preserve">ВАЖНО: ДОКУМЕНТ ТРЕБУЕТ АДАПТАЦИИ</w:t>
      </w:r>
    </w:p>
    <w:p>
      <w:pPr>
        <w:spacing w:before="0" w:after="160" w:line="264" w:lineRule="auto"/>
      </w:pPr>
      <w:r>
        <w:rPr>
          <w:b/>
          <w:sz w:val="20"/>
          <w:szCs w:val="20"/>
        </w:rPr>
        <w:t xml:space="preserve">Это редактируемый шаблон, а не готовая закупочная документация. До утверждения и размещения заказчик проверяет и адаптирует объект закупки, состав, количество, характеристики, сроки и условия поставки с учётом статьи 33 Федерального закона № 44-ФЗ, актуальных позиций КТРУ, национального режима, потребностей учреждения и условий конкретной процедуры.</w:t>
      </w:r>
    </w:p>
    <w:p>
      <w:pPr>
        <w:spacing w:before="200" w:after="120" w:line="264" w:lineRule="auto"/>
      </w:pPr>
      <w:r>
        <w:rPr>
          <w:b/>
          <w:sz w:val="26"/>
          <w:szCs w:val="26"/>
        </w:rPr>
        <w:t xml:space="preserve">1. Общие сведения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1.1. Заказчик: __________________________________________________________________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1.2. Объект закупки: поставка оборудования — оснащение кабинета педагога-психолога для диагностической, коррекционно-развивающей и релаксационной работы с обучающимися.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1.3. Место поставки: _________________________________________________________________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1.4. Срок поставки: в течение ________ календарных дней с даты заключения контракта.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1.5. Минимальная площадь помещения для размещения комплекта — не менее 16 м². Точный состав уточняется по фактической планировке помещения.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1.6. Итоговая редакция технического задания утверждается заказчиком после проверки и адаптации описания объекта закупки в соответствии со статьёй 33 Федерального закона от 05.04.2013 № 44-ФЗ.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2. Нормативные документы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Поставляемый товар должен соответствовать требованиям следующих документов в редакции, действующей на дату поставки: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Федеральный закон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008/2011 «О безопасности игрушек»;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025/2012 «О безопасности мебельной продукции»;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004/2011 «О безопасности низковольтного оборудования» и ТР ТС 020/2011 «Электромагнитная совместимость технических средств» — для оборудования, подключаемого к электрической сети;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национальные стандарты на мебель для образовательных организаций, действующие на дату поставки.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3. Общие требования к поставляемому товару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3.1. Товар должен быть новым, не бывшим в употреблении, не восстановленным, без дефектов; год выпуска — не ранее года, предшествующего году поставки.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3.2. На товар, подлежащий обязательному подтверждению соответствия, поставщик представляет сертификаты соответствия либо декларации о соответствии. Документы передаются заказчику одновременно с товаром.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3.3. Материалы, контактирующие с обучающимися, должны быть нетоксичными и допускать обработку дезинфицирующими средствами. Конструкции не должны иметь острых углов, кромок и выступающих креплений в зоне доступа детей.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3.4. Мебель поставляется с цветовой маркировкой номера мебели (ростовой группы) в соответствии с таблицей 6.2 СанПиН 1.2.3685-21. Номера мебели уточняются заказчиком при заключении контракта исходя из состава обучающихся.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3.5. Описание объекта закупки не содержит указаний на товарные знаки, знаки обслуживания, фирменные наименования, патенты, полезные модели, промышленные образцы, наименование страны происхождения товара, требования к производителю товара, к участнику закупки, его деловой репутации, опыту работы, наличию у него производственных мощностей и трудовых ресурсов. Все характеристики приведены в виде максимальных и (или) минимальных значений либо значений, которые не могут изменяться (часть 2 статьи 33 Федерального закона № 44-ФЗ). Если в описании отдельной позиции по объективным причинам приведено указание на товарный знак, такое указание сопровождается словами «или эквивалент» с указанием параметров эквивалентности.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3.6. При наличии в каталоге товаров, работ, услуг для обеспечения государственных и муниципальных нужд (КТРУ) позиции, соответствующей объекту закупки, применяются наименование, единица измерения и характеристики товара из соответствующей позиции каталога (Правила использования КТРУ, утверждённые постановлением Правительства Российской Федерации от 08.02.2017 № 145).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3.7. К закупке применяются условия допуска, запреты и ограничения на товары, происходящие из иностранных государств, установленные постановлением Правительства Российской Федерации от 23.12.2024 № 1875. Подтверждение страны происхождения товара осуществляется в порядке, предусмотренном указанным постановлением, в том числе выпиской из реестра российской промышленной продукции.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3.8. Товар поставляется в упаковке, обеспечивающей сохранность при транспортировании и хранении.</w:t>
      </w:r>
    </w:p>
    <w:p>
      <w:pPr>
        <w:spacing w:before="240" w:after="140" w:line="264" w:lineRule="auto"/>
      </w:pPr>
      <w:r>
        <w:rPr>
          <w:b/>
          <w:sz w:val="26"/>
          <w:szCs w:val="26"/>
        </w:rPr>
        <w:t xml:space="preserve">4. Перечень поставляемого оборудования и требования к характеристикам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</w:tblPr>
      <w:tblGrid>
        <w:gridCol w:w="520"/>
        <w:gridCol w:w="2300"/>
        <w:gridCol w:w="5100"/>
        <w:gridCol w:w="780"/>
        <w:gridCol w:w="900"/>
      </w:tblGrid>
      <w:tr>
        <w:trPr>
          <w:tblHeader/>
        </w:trPr>
        <w:tc>
          <w:tcPr>
            <w:tcW w:w="52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№</w:t>
            </w:r>
          </w:p>
        </w:tc>
        <w:tc>
          <w:tcPr>
            <w:tcW w:w="23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Наименование товара</w:t>
            </w:r>
          </w:p>
        </w:tc>
        <w:tc>
          <w:tcPr>
            <w:tcW w:w="51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Требуемые функциональные, технические, качественные и эксплуатационные характеристики</w:t>
            </w:r>
          </w:p>
        </w:tc>
        <w:tc>
          <w:tcPr>
            <w:tcW w:w="78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Ед. изм.</w:t>
            </w:r>
          </w:p>
        </w:tc>
        <w:tc>
          <w:tcPr>
            <w:tcW w:w="9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Кол-во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Колонна воздушно-пузырьковая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Высота не менее 1500 мм, диаметр колбы не менее 150 мм. Подсветка со сменой цветов, не менее 4 цветов. Безопасное мягкое основание. Материал колбы — ударопрочный полимер.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Мягкая платформа для воздушно-пузырьковой колонны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600 × 600 мм, высота не менее 250 мм. Наполнитель — пенополиуретан. Обивка из винилискожи, допускающей обработку дезинфицирующими средствами. Совместимость с поставляемой колонной.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акриловых зеркал к колонне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2 элементов. Материал — акрил (безопасный аналог зеркала). Крепление к стене, комплект крепежа в поставке.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Проектор звёздного неба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Проекция не менее чем на 15 м² поверхности. Питание 220 В. Материал корпуса — МДФ или ударопрочный пластик. Потребляемая мощность не более 20 Вт.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Световой куб для сенсорной стимуляции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300 × 300 × 300 мм. Не менее 12 цветовых режимов и не менее 4 динамических. Безопасное напряжение питания.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Тактильно-световой комплекс с вибрацией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Комбинированное воздействие: тактильное, звуковое и световое. Не менее 3 режимов работы. Управление с пульта на расстоянии не менее 3 м. Возможность загрузки собственных аудиофайлов с внешнего носителя. Питание 220 В.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7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Мягкий пуф-кресло для релаксации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600 × 600 × 600 мм. Наполнитель — пенополистирол или пенополиуретан. Обивка — винилискожа или экокожа, допускающая обработку дезсредствами. Допустимая нагрузка не менее 60 кг.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8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Мягкий мат напольный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1500 × 1000 мм, толщина не менее 40 мм. Наполнитель — пенополиуретан. Обивка — винилискожа. Соединение матов между собой.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9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Стол психолога рабочий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1200 × 600 мм. Материал ЛДСП не менее 16 мм. Наличие тумбы или ящиков для хранения диагностических материалов.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10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Стол для занятий с детьми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1000 × 600 мм, высота регулируемая. Кромки скруглённые. Покрытие допускает влажную обработку.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Стул детский регулируемый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Номера мебели по таблице 6.2 СанПиН 1.2.3685-21 — не менее чем с 0 по 3 (высота сиденья 220–340 мм). Каркас металлический. Цветовая маркировка номера мебели.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4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Кресло для специалиста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Регулировка высоты сиденья не менее чем в диапазоне 420–550 мм. Опора на пяти роликах, подлокотники. Допустимая нагрузка не менее 100 кг.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Шкаф для диагностических материалов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800 × 400 × 1800 мм. Закрытая секция с замком. Материал ЛДСП не менее 16 мм.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14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психодиагностических методик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30 методик для возраста от 3 до 17 лет. Наличие бланков и руководства по обработке результатов.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15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Программное обеспечение для психодиагностики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40 тестов. Автоматическая обработка результатов и формирование заключения. Бессрочная лицензия на 1 рабочее место.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16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Шумовой набор для развития слухового восприятия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16 парных элементов, не менее 8 видов наполнения. Материал — дерево с сертифицированным покрытием.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17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сенсорных тактильных пластин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8 элементов различной фактуры. Габариты элемента не менее 400 × 120 мм. Материал — дерево или полимер, поверхности допускают влажную обработку. Наличие документа о подтверждении соответствия по действующим техническим регламентам Таможенного союза.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18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Набор для песочной терапии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Световой стол или планшет с подсветкой, рабочая поверхность не менее 500 × 300 мм. Песок кварцевый прокалённый в комплекте, не менее 5 кг.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19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Набор игрушек для игровой терапии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40 фигурок различных категорий. Материал — пластик или дерево, допускающий влажную обработку.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20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Мягкий модуль-конструктор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7 элементов. Наполнитель — пенополиуретан, обивка — винилискожа. Возможность сборки не менее 3 конфигураций.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Ширма-перегородка мобильная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Высота не менее 1200 мм. Устойчивое основание. Материал — ЛДСП или текстиль на каркасе. Возможность перемещения одним человеком.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</w:tbl>
    <w:p>
      <w:pPr>
        <w:spacing w:before="120" w:after="120" w:line="264" w:lineRule="auto"/>
      </w:pPr>
      <w:r>
        <w:rPr>
          <w:sz w:val="19"/>
          <w:szCs w:val="19"/>
        </w:rPr>
        <w:t xml:space="preserve">Всего позиций: 21. Единицы измерения указаны в соответствии с Общероссийским классификатором единиц измерения (ОК 015-94). Количество по каждой позиции корректируется заказчиком под фактическую площадь помещения и число обучающихся.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5. Требования к поставке и передаче товара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5.1. Поставка осуществляется силами и за счёт поставщика по адресу, указанному в пункте 1.3, включая разгрузку и занос в помещение.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5.2. Сборка, установка, крепление к строительным конструкциям и монтаж не входят в предмет поставки. Заказчик организует эти работы самостоятельно либо привлекает выбранного квалифицированного исполнителя с соблюдением инструкций изготовителя.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5.3. Оборудование, требующее квалифицированного подключения к электрической сети или инженерным системам, передаётся без такого подключения. Подключение организует заказчик через выбранного квалифицированного исполнителя. При приёмке проверяются режимы, доступные без сборки, монтажа и подключения.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5.4. Поставщик проводит инструктаж работников заказчика по эксплуатации поставленного оборудования продолжительностью не менее одного часа. Факт проведения инструктажа фиксируется в акте.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5.5. Упаковочные материалы вывозятся поставщиком.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6. Требования к гарантии качества товара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6.1. Гарантийный срок — не менее 12 месяцев с даты подписания документа о приёмке, если для отдельных позиций изготовителем не установлен больший срок.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6.2. На оборудование, относящееся к машинам и оборудованию, поставщик предоставляет гарантию производителя (часть 4 статьи 33 Федерального закона № 44-ФЗ).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6.3. В течение гарантийного срока поставщик за свой счёт устраняет недостатки либо заменяет товар ненадлежащего качества в срок не более 30 календарных дней с даты получения уведомления заказчика.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6.4. Поставщик обеспечивает консультационную поддержку по вопросам эксплуатации в течение всего гарантийного срока.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7. Требования к сопроводительной документации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Одновременно с товаром заказчику передаются: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сертификаты соответствия или декларации о соответствии на продукцию, подлежащую обязательному подтверждению соответствия;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паспорта изделий и инструкции по эксплуатации на русском языке;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гарантийные талоны с указанием даты начала гарантийного срока;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руководства по сборке для оборудования, поставляемого в разобранном виде.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8. Порядок приёмки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8.1. Приёмка осуществляется по количеству и качеству в соответствии со спецификацией к контракту.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8.2. Документ о приёмке формируется и подписывается усиленной квалифицированной электронной подписью в единой информационной системе в сфере закупок в порядке, установленном частью 13 статьи 94 Федерального закона № 44-ФЗ. Датой приёмки считается дата размещения в единой информационной системе документа о приёмке, подписанного заказчиком.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8.3. При обнаружении несоответствия заказчик формирует мотивированный отказ от подписания документа о приёмке с указанием выявленных недостатков и срока их устранения.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8.4. Приёмка поставки не включает отдельно организуемые заказчиком сборку, установку, крепление, монтаж и подключение. Недостатки товара, обнаруженные при последующей сборке или установке по инструкции изготовителя, фиксируются заказчиком и предъявляются поставщику в порядке, установленном контрактом и гарантией.</w:t>
      </w:r>
    </w:p>
    <w:p>
      <w:pPr>
        <w:spacing w:before="0" w:after="120" w:line="264" w:lineRule="auto"/>
      </w:pPr>
      <w:r>
        <w:t xml:space="preserve"> </w:t>
      </w:r>
    </w:p>
    <w:p>
      <w:pPr>
        <w:spacing w:before="240" w:after="0" w:line="264" w:lineRule="auto"/>
      </w:pPr>
      <w:r>
        <w:rPr>
          <w:sz w:val="24"/>
          <w:szCs w:val="24"/>
        </w:rPr>
        <w:t xml:space="preserve">Разработал: _____________________________ / __________________</w:t>
      </w:r>
    </w:p>
    <w:p>
      <w:pPr>
        <w:spacing w:before="0" w:after="120" w:line="264" w:lineRule="auto"/>
        <w:ind w:left="680"/>
      </w:pPr>
      <w:r>
        <w:rPr>
          <w:sz w:val="16"/>
          <w:szCs w:val="16"/>
        </w:rPr>
        <w:t xml:space="preserve">(должность, подпись)                                  (инициалы, фамилия)</w:t>
      </w:r>
    </w:p>
    <w:p>
      <w:pPr>
        <w:spacing w:before="160" w:after="0" w:line="264" w:lineRule="auto"/>
      </w:pPr>
      <w:r>
        <w:rPr>
          <w:sz w:val="24"/>
          <w:szCs w:val="24"/>
        </w:rPr>
        <w:t xml:space="preserve">Согласовано: ____________________________ / __________________</w:t>
      </w:r>
    </w:p>
    <w:p>
      <w:pPr>
        <w:spacing w:before="0" w:after="120" w:line="264" w:lineRule="auto"/>
        <w:ind w:left="680"/>
      </w:pPr>
      <w:r>
        <w:rPr>
          <w:sz w:val="16"/>
          <w:szCs w:val="16"/>
        </w:rPr>
        <w:t xml:space="preserve">(должность, подпись)                                  (инициалы, фамилия)</w:t>
      </w:r>
    </w:p>
    <w:sectPr>
      <w:pgSz w:w="11906" w:h="16838"/>
      <w:pgMar w:top="1134" w:right="850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