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0" w:after="0" w:line="264" w:lineRule="auto"/>
      </w:pPr>
      <w:r>
        <w:rPr>
          <w:sz w:val="20"/>
          <w:szCs w:val="20"/>
        </w:rPr>
        <w:t xml:space="preserve">Приложение № ____</w:t>
      </w:r>
    </w:p>
    <w:p>
      <w:pPr>
        <w:spacing w:before="0" w:after="60" w:line="264" w:lineRule="auto"/>
      </w:pPr>
      <w:r>
        <w:rPr>
          <w:sz w:val="20"/>
          <w:szCs w:val="20"/>
        </w:rPr>
        <w:t xml:space="preserve">к извещению об осуществлении закупки</w:t>
      </w:r>
    </w:p>
    <w:p>
      <w:pPr>
        <w:spacing w:before="0" w:after="0" w:line="264" w:lineRule="auto"/>
        <w:jc w:val="right"/>
      </w:pPr>
      <w:r>
        <w:rPr>
          <w:sz w:val="20"/>
          <w:szCs w:val="20"/>
        </w:rPr>
        <w:t xml:space="preserve">УТВЕРЖДАЮ</w:t>
      </w:r>
    </w:p>
    <w:p>
      <w:pPr>
        <w:spacing w:before="0" w:after="0" w:line="264" w:lineRule="auto"/>
        <w:jc w:val="right"/>
      </w:pPr>
      <w:r>
        <w:rPr>
          <w:sz w:val="20"/>
          <w:szCs w:val="20"/>
        </w:rPr>
        <w:t xml:space="preserve">Заведующий (директор) _____________________</w:t>
      </w:r>
    </w:p>
    <w:p>
      <w:pPr>
        <w:spacing w:before="0" w:after="0" w:line="264" w:lineRule="auto"/>
        <w:jc w:val="right"/>
      </w:pPr>
      <w:r>
        <w:rPr>
          <w:sz w:val="16"/>
          <w:szCs w:val="16"/>
        </w:rPr>
        <w:t xml:space="preserve">(наименование должности руководителя заказчика)</w:t>
      </w:r>
    </w:p>
    <w:p>
      <w:pPr>
        <w:spacing w:before="0" w:after="0" w:line="264" w:lineRule="auto"/>
        <w:jc w:val="right"/>
      </w:pPr>
      <w:r>
        <w:rPr>
          <w:sz w:val="20"/>
          <w:szCs w:val="20"/>
        </w:rPr>
        <w:t xml:space="preserve">______________ / _____________________</w:t>
      </w:r>
    </w:p>
    <w:p>
      <w:pPr>
        <w:spacing w:before="0" w:after="0" w:line="264" w:lineRule="auto"/>
        <w:jc w:val="right"/>
      </w:pPr>
      <w:r>
        <w:rPr>
          <w:sz w:val="16"/>
          <w:szCs w:val="16"/>
        </w:rPr>
        <w:t xml:space="preserve">(подпись)              (инициалы, фамилия)</w:t>
      </w:r>
    </w:p>
    <w:p>
      <w:pPr>
        <w:spacing w:before="0" w:after="0" w:line="264" w:lineRule="auto"/>
        <w:jc w:val="right"/>
      </w:pPr>
      <w:r>
        <w:rPr>
          <w:sz w:val="20"/>
          <w:szCs w:val="20"/>
        </w:rPr>
        <w:t xml:space="preserve">«____» ______________ 20____ г.</w:t>
      </w:r>
    </w:p>
    <w:p>
      <w:pPr>
        <w:spacing w:before="0" w:after="120" w:line="264" w:lineRule="auto"/>
      </w:pPr>
      <w:r>
        <w:t xml:space="preserve"> </w:t>
      </w:r>
    </w:p>
    <w:p>
      <w:pPr>
        <w:spacing w:before="0" w:after="40" w:line="264" w:lineRule="auto"/>
        <w:jc w:val="center"/>
      </w:pPr>
      <w:r>
        <w:rPr>
          <w:b/>
          <w:sz w:val="28"/>
          <w:szCs w:val="28"/>
        </w:rPr>
        <w:t xml:space="preserve">ТЕХНИЧЕСКОЕ ЗАДАНИЕ</w:t>
      </w:r>
    </w:p>
    <w:p>
      <w:pPr>
        <w:spacing w:before="0" w:after="40" w:line="264" w:lineRule="auto"/>
        <w:jc w:val="center"/>
      </w:pPr>
      <w:r>
        <w:rPr>
          <w:sz w:val="22"/>
          <w:szCs w:val="22"/>
        </w:rPr>
        <w:t xml:space="preserve">(описание объекта закупки)</w:t>
      </w:r>
    </w:p>
    <w:p>
      <w:pPr>
        <w:spacing w:before="0" w:after="40" w:line="264" w:lineRule="auto"/>
        <w:jc w:val="center"/>
      </w:pPr>
      <w:r>
        <w:rPr>
          <w:sz w:val="24"/>
          <w:szCs w:val="24"/>
        </w:rPr>
        <w:t xml:space="preserve">на поставку оборудования для оснащения</w:t>
      </w:r>
    </w:p>
    <w:p>
      <w:pPr>
        <w:spacing w:before="0" w:after="160" w:line="264" w:lineRule="auto"/>
        <w:jc w:val="center"/>
      </w:pPr>
      <w:r>
        <w:rPr>
          <w:b/>
          <w:sz w:val="26"/>
          <w:szCs w:val="26"/>
        </w:rPr>
        <w:t xml:space="preserve">«Кабинет сенсорной интеграции»</w:t>
      </w:r>
    </w:p>
    <w:p>
      <w:pPr>
        <w:spacing w:before="80" w:after="60" w:line="264" w:lineRule="auto"/>
        <w:jc w:val="center"/>
      </w:pPr>
      <w:r>
        <w:rPr>
          <w:b/>
          <w:sz w:val="23"/>
          <w:szCs w:val="23"/>
        </w:rPr>
        <w:t xml:space="preserve">ВАЖНО: ДОКУМЕНТ ТРЕБУЕТ АДАПТАЦИИ</w:t>
      </w:r>
    </w:p>
    <w:p>
      <w:pPr>
        <w:spacing w:before="0" w:after="160" w:line="264" w:lineRule="auto"/>
      </w:pPr>
      <w:r>
        <w:rPr>
          <w:b/>
          <w:sz w:val="20"/>
          <w:szCs w:val="20"/>
        </w:rPr>
        <w:t xml:space="preserve">Это редактируемый шаблон, а не готовая закупочная документация. До утверждения и размещения заказчик проверяет и адаптирует объект закупки, состав, количество, характеристики, сроки и условия поставки с учётом статьи 33 Федерального закона № 44-ФЗ, актуальных позиций КТРУ, национального режима, потребностей учреждения и условий конкретной процедуры.</w:t>
      </w:r>
    </w:p>
    <w:p>
      <w:pPr>
        <w:spacing w:before="200" w:after="120" w:line="264" w:lineRule="auto"/>
      </w:pPr>
      <w:r>
        <w:rPr>
          <w:b/>
          <w:sz w:val="26"/>
          <w:szCs w:val="26"/>
        </w:rPr>
        <w:t xml:space="preserve">1. Общие сведения</w:t>
      </w:r>
    </w:p>
    <w:p>
      <w:pPr>
        <w:spacing w:before="0" w:after="120" w:line="264" w:lineRule="auto"/>
      </w:pPr>
      <w:r>
        <w:rPr>
          <w:sz w:val="24"/>
          <w:szCs w:val="24"/>
        </w:rPr>
        <w:t xml:space="preserve">1.1. Заказчик: __________________________________________________________________</w:t>
      </w:r>
    </w:p>
    <w:p>
      <w:pPr>
        <w:spacing w:before="0" w:after="120" w:line="264" w:lineRule="auto"/>
      </w:pPr>
      <w:r>
        <w:rPr>
          <w:sz w:val="24"/>
          <w:szCs w:val="24"/>
        </w:rPr>
        <w:t xml:space="preserve">1.2. Объект закупки: поставка оборудования — оснащение кабинета сенсорной интеграции для проведения занятий по методу сенсорной интеграции с обучающимися с ОВЗ.</w:t>
      </w:r>
    </w:p>
    <w:p>
      <w:pPr>
        <w:spacing w:before="0" w:after="120" w:line="264" w:lineRule="auto"/>
      </w:pPr>
      <w:r>
        <w:rPr>
          <w:sz w:val="24"/>
          <w:szCs w:val="24"/>
        </w:rPr>
        <w:t xml:space="preserve">1.3. Место поставки: _________________________________________________________________</w:t>
      </w:r>
    </w:p>
    <w:p>
      <w:pPr>
        <w:spacing w:before="0" w:after="120" w:line="264" w:lineRule="auto"/>
      </w:pPr>
      <w:r>
        <w:rPr>
          <w:sz w:val="24"/>
          <w:szCs w:val="24"/>
        </w:rPr>
        <w:t xml:space="preserve">1.4. Срок поставки: в течение ________ календарных дней с даты заключения контракта.</w:t>
      </w:r>
    </w:p>
    <w:p>
      <w:pPr>
        <w:spacing w:before="0" w:after="120" w:line="264" w:lineRule="auto"/>
      </w:pPr>
      <w:r>
        <w:rPr>
          <w:sz w:val="24"/>
          <w:szCs w:val="24"/>
        </w:rPr>
        <w:t xml:space="preserve">1.5. Минимальная площадь помещения для размещения комплекта — не менее 18 м². Точный состав уточняется по фактической планировке помещения.</w:t>
      </w:r>
    </w:p>
    <w:p>
      <w:pPr>
        <w:spacing w:before="0" w:after="120" w:line="264" w:lineRule="auto"/>
      </w:pPr>
      <w:r>
        <w:rPr>
          <w:sz w:val="24"/>
          <w:szCs w:val="24"/>
        </w:rPr>
        <w:t xml:space="preserve">1.6. Итоговая редакция технического задания утверждается заказчиком после проверки и адаптации описания объекта закупки в соответствии со статьёй 33 Федерального закона от 05.04.2013 № 44-ФЗ.</w:t>
      </w:r>
    </w:p>
    <w:p>
      <w:pPr>
        <w:spacing w:before="240" w:after="120" w:line="264" w:lineRule="auto"/>
      </w:pPr>
      <w:r>
        <w:rPr>
          <w:b/>
          <w:sz w:val="26"/>
          <w:szCs w:val="26"/>
        </w:rPr>
        <w:t xml:space="preserve">2. Нормативные документы</w:t>
      </w:r>
    </w:p>
    <w:p>
      <w:pPr>
        <w:spacing w:before="0" w:after="120" w:line="264" w:lineRule="auto"/>
      </w:pPr>
      <w:r>
        <w:rPr>
          <w:sz w:val="24"/>
          <w:szCs w:val="24"/>
        </w:rPr>
        <w:t xml:space="preserve">Поставляемый товар должен соответствовать требованиям следующих документов в редакции, действующей на дату поставки:</w:t>
      </w:r>
    </w:p>
    <w:p>
      <w:pPr>
        <w:spacing w:before="0" w:after="120" w:line="264" w:lineRule="auto"/>
        <w:ind w:left="340"/>
      </w:pPr>
      <w:r>
        <w:rPr>
          <w:sz w:val="24"/>
          <w:szCs w:val="24"/>
        </w:rPr>
        <w:t xml:space="preserve">— Федеральный закон от 05.04.2013 № 44-ФЗ «О контрактной системе в сфере закупок товаров, работ, услуг для обеспечения государственных и муниципальных нужд»;</w:t>
      </w:r>
    </w:p>
    <w:p>
      <w:pPr>
        <w:spacing w:before="0" w:after="120" w:line="264" w:lineRule="auto"/>
        <w:ind w:left="340"/>
      </w:pPr>
      <w:r>
        <w:rPr>
          <w:sz w:val="24"/>
          <w:szCs w:val="24"/>
        </w:rPr>
        <w:t xml:space="preserve">— технический регламент Таможенного союза ТР ТС 008/2011 «О безопасности игрушек»;</w:t>
      </w:r>
    </w:p>
    <w:p>
      <w:pPr>
        <w:spacing w:before="0" w:after="120" w:line="264" w:lineRule="auto"/>
        <w:ind w:left="340"/>
      </w:pPr>
      <w:r>
        <w:rPr>
          <w:sz w:val="24"/>
          <w:szCs w:val="24"/>
        </w:rPr>
        <w:t xml:space="preserve">— технический регламент Таможенного союза ТР ТС 025/2012 «О безопасности мебельной продукции»;</w:t>
      </w:r>
    </w:p>
    <w:p>
      <w:pPr>
        <w:spacing w:before="0" w:after="120" w:line="264" w:lineRule="auto"/>
        <w:ind w:left="340"/>
      </w:pPr>
      <w:r>
        <w:rPr>
          <w:sz w:val="24"/>
          <w:szCs w:val="24"/>
        </w:rPr>
        <w:t xml:space="preserve">— технический регламент Таможенного союза ТР ТС 004/2011 «О безопасности низковольтного оборудования» и ТР ТС 020/2011 «Электромагнитная совместимость технических средств» — для оборудования, подключаемого к электрической сети;</w:t>
      </w:r>
    </w:p>
    <w:p>
      <w:pPr>
        <w:spacing w:before="0" w:after="120" w:line="264" w:lineRule="auto"/>
        <w:ind w:left="340"/>
      </w:pPr>
      <w:r>
        <w:rPr>
          <w:sz w:val="24"/>
          <w:szCs w:val="24"/>
        </w:rPr>
        <w:t xml:space="preserve">— 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>
      <w:pPr>
        <w:spacing w:before="0" w:after="120" w:line="264" w:lineRule="auto"/>
        <w:ind w:left="340"/>
      </w:pPr>
      <w:r>
        <w:rPr>
          <w:sz w:val="24"/>
          <w:szCs w:val="24"/>
        </w:rPr>
        <w:t xml:space="preserve">— СП 2.4.3648-20 «Санитарно-эпидемиологические требования к организациям воспитания и обучения, отдыха и оздоровления детей и молодёжи»;</w:t>
      </w:r>
    </w:p>
    <w:p>
      <w:pPr>
        <w:spacing w:before="0" w:after="120" w:line="264" w:lineRule="auto"/>
        <w:ind w:left="340"/>
      </w:pPr>
      <w:r>
        <w:rPr>
          <w:sz w:val="24"/>
          <w:szCs w:val="24"/>
        </w:rPr>
        <w:t xml:space="preserve">— национальные стандарты на мебель для образовательных организаций, действующие на дату поставки.</w:t>
      </w:r>
    </w:p>
    <w:p>
      <w:pPr>
        <w:spacing w:before="240" w:after="120" w:line="264" w:lineRule="auto"/>
      </w:pPr>
      <w:r>
        <w:rPr>
          <w:b/>
          <w:sz w:val="26"/>
          <w:szCs w:val="26"/>
        </w:rPr>
        <w:t xml:space="preserve">3. Общие требования к поставляемому товару</w:t>
      </w:r>
    </w:p>
    <w:p>
      <w:pPr>
        <w:spacing w:before="0" w:after="120" w:line="264" w:lineRule="auto"/>
      </w:pPr>
      <w:r>
        <w:rPr>
          <w:sz w:val="24"/>
          <w:szCs w:val="24"/>
        </w:rPr>
        <w:t xml:space="preserve">3.1. Товар должен быть новым, не бывшим в употреблении, не восстановленным, без дефектов; год выпуска — не ранее года, предшествующего году поставки.</w:t>
      </w:r>
    </w:p>
    <w:p>
      <w:pPr>
        <w:spacing w:before="0" w:after="120" w:line="264" w:lineRule="auto"/>
      </w:pPr>
      <w:r>
        <w:rPr>
          <w:sz w:val="24"/>
          <w:szCs w:val="24"/>
        </w:rPr>
        <w:t xml:space="preserve">3.2. На товар, подлежащий обязательному подтверждению соответствия, поставщик представляет сертификаты соответствия либо декларации о соответствии. Документы передаются заказчику одновременно с товаром.</w:t>
      </w:r>
    </w:p>
    <w:p>
      <w:pPr>
        <w:spacing w:before="0" w:after="120" w:line="264" w:lineRule="auto"/>
      </w:pPr>
      <w:r>
        <w:rPr>
          <w:sz w:val="24"/>
          <w:szCs w:val="24"/>
        </w:rPr>
        <w:t xml:space="preserve">3.3. Материалы, контактирующие с обучающимися, должны быть нетоксичными и допускать обработку дезинфицирующими средствами. Конструкции не должны иметь острых углов, кромок и выступающих креплений в зоне доступа детей.</w:t>
      </w:r>
    </w:p>
    <w:p>
      <w:pPr>
        <w:spacing w:before="0" w:after="120" w:line="264" w:lineRule="auto"/>
      </w:pPr>
      <w:r>
        <w:rPr>
          <w:sz w:val="24"/>
          <w:szCs w:val="24"/>
        </w:rPr>
        <w:t xml:space="preserve">3.4. Мебель поставляется с цветовой маркировкой номера мебели (ростовой группы) в соответствии с таблицей 6.2 СанПиН 1.2.3685-21. Номера мебели уточняются заказчиком при заключении контракта исходя из состава обучающихся.</w:t>
      </w:r>
    </w:p>
    <w:p>
      <w:pPr>
        <w:spacing w:before="0" w:after="120" w:line="264" w:lineRule="auto"/>
      </w:pPr>
      <w:r>
        <w:rPr>
          <w:sz w:val="24"/>
          <w:szCs w:val="24"/>
        </w:rPr>
        <w:t xml:space="preserve">3.5. Описание объекта закупки не содержит указаний на товарные знаки, знаки обслуживания, фирменные наименования, патенты, полезные модели, промышленные образцы, наименование страны происхождения товара, требования к производителю товара, к участнику закупки, его деловой репутации, опыту работы, наличию у него производственных мощностей и трудовых ресурсов. Все характеристики приведены в виде максимальных и (или) минимальных значений либо значений, которые не могут изменяться (часть 2 статьи 33 Федерального закона № 44-ФЗ). Если в описании отдельной позиции по объективным причинам приведено указание на товарный знак, такое указание сопровождается словами «или эквивалент» с указанием параметров эквивалентности.</w:t>
      </w:r>
    </w:p>
    <w:p>
      <w:pPr>
        <w:spacing w:before="0" w:after="120" w:line="264" w:lineRule="auto"/>
      </w:pPr>
      <w:r>
        <w:rPr>
          <w:sz w:val="24"/>
          <w:szCs w:val="24"/>
        </w:rPr>
        <w:t xml:space="preserve">3.6. При наличии в каталоге товаров, работ, услуг для обеспечения государственных и муниципальных нужд (КТРУ) позиции, соответствующей объекту закупки, применяются наименование, единица измерения и характеристики товара из соответствующей позиции каталога (Правила использования КТРУ, утверждённые постановлением Правительства Российской Федерации от 08.02.2017 № 145).</w:t>
      </w:r>
    </w:p>
    <w:p>
      <w:pPr>
        <w:spacing w:before="0" w:after="120" w:line="264" w:lineRule="auto"/>
      </w:pPr>
      <w:r>
        <w:rPr>
          <w:sz w:val="24"/>
          <w:szCs w:val="24"/>
        </w:rPr>
        <w:t xml:space="preserve">3.7. К закупке применяются условия допуска, запреты и ограничения на товары, происходящие из иностранных государств, установленные постановлением Правительства Российской Федерации от 23.12.2024 № 1875. Подтверждение страны происхождения товара осуществляется в порядке, предусмотренном указанным постановлением, в том числе выпиской из реестра российской промышленной продукции.</w:t>
      </w:r>
    </w:p>
    <w:p>
      <w:pPr>
        <w:spacing w:before="0" w:after="120" w:line="264" w:lineRule="auto"/>
      </w:pPr>
      <w:r>
        <w:rPr>
          <w:sz w:val="24"/>
          <w:szCs w:val="24"/>
        </w:rPr>
        <w:t xml:space="preserve">3.8. Товар поставляется в упаковке, обеспечивающей сохранность при транспортировании и хранении.</w:t>
      </w:r>
    </w:p>
    <w:p>
      <w:pPr>
        <w:spacing w:before="240" w:after="140" w:line="264" w:lineRule="auto"/>
      </w:pPr>
      <w:r>
        <w:rPr>
          <w:b/>
          <w:sz w:val="26"/>
          <w:szCs w:val="26"/>
        </w:rPr>
        <w:t xml:space="preserve">4. Перечень поставляемого оборудования и требования к характеристикам</w:t>
      </w:r>
    </w:p>
    <w:tbl>
      <w:tblPr>
        <w:tblW w:w="0" w:type="auto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</w:tblPr>
      <w:tblGrid>
        <w:gridCol w:w="520"/>
        <w:gridCol w:w="2300"/>
        <w:gridCol w:w="5100"/>
        <w:gridCol w:w="780"/>
        <w:gridCol w:w="900"/>
      </w:tblGrid>
      <w:tr>
        <w:trPr>
          <w:tblHeader/>
        </w:trPr>
        <w:tc>
          <w:tcPr>
            <w:tcW w:w="520" w:type="dxa"/>
            <w:shd w:val="clear" w:color="auto" w:fill="EFF2F6"/>
            <w:vAlign w:val="top"/>
          </w:tcPr>
          <w:p>
            <w:pPr>
              <w:spacing w:before="0" w:after="0" w:line="264" w:lineRule="auto"/>
            </w:pPr>
            <w:r>
              <w:rPr>
                <w:b/>
                <w:sz w:val="18"/>
                <w:szCs w:val="18"/>
              </w:rPr>
              <w:t xml:space="preserve">№</w:t>
            </w:r>
          </w:p>
        </w:tc>
        <w:tc>
          <w:tcPr>
            <w:tcW w:w="2300" w:type="dxa"/>
            <w:shd w:val="clear" w:color="auto" w:fill="EFF2F6"/>
            <w:vAlign w:val="top"/>
          </w:tcPr>
          <w:p>
            <w:pPr>
              <w:spacing w:before="0" w:after="0" w:line="264" w:lineRule="auto"/>
            </w:pPr>
            <w:r>
              <w:rPr>
                <w:b/>
                <w:sz w:val="18"/>
                <w:szCs w:val="18"/>
              </w:rPr>
              <w:t xml:space="preserve">Наименование товара</w:t>
            </w:r>
          </w:p>
        </w:tc>
        <w:tc>
          <w:tcPr>
            <w:tcW w:w="5100" w:type="dxa"/>
            <w:shd w:val="clear" w:color="auto" w:fill="EFF2F6"/>
            <w:vAlign w:val="top"/>
          </w:tcPr>
          <w:p>
            <w:pPr>
              <w:spacing w:before="0" w:after="0" w:line="264" w:lineRule="auto"/>
            </w:pPr>
            <w:r>
              <w:rPr>
                <w:b/>
                <w:sz w:val="18"/>
                <w:szCs w:val="18"/>
              </w:rPr>
              <w:t xml:space="preserve">Требуемые функциональные, технические, качественные и эксплуатационные характеристики</w:t>
            </w:r>
          </w:p>
        </w:tc>
        <w:tc>
          <w:tcPr>
            <w:tcW w:w="780" w:type="dxa"/>
            <w:shd w:val="clear" w:color="auto" w:fill="EFF2F6"/>
            <w:vAlign w:val="top"/>
          </w:tcPr>
          <w:p>
            <w:pPr>
              <w:spacing w:before="0" w:after="0" w:line="264" w:lineRule="auto"/>
            </w:pPr>
            <w:r>
              <w:rPr>
                <w:b/>
                <w:sz w:val="18"/>
                <w:szCs w:val="18"/>
              </w:rPr>
              <w:t xml:space="preserve">Ед. изм.</w:t>
            </w:r>
          </w:p>
        </w:tc>
        <w:tc>
          <w:tcPr>
            <w:tcW w:w="900" w:type="dxa"/>
            <w:shd w:val="clear" w:color="auto" w:fill="EFF2F6"/>
            <w:vAlign w:val="top"/>
          </w:tcPr>
          <w:p>
            <w:pPr>
              <w:spacing w:before="0" w:after="0" w:line="264" w:lineRule="auto"/>
            </w:pPr>
            <w:r>
              <w:rPr>
                <w:b/>
                <w:sz w:val="18"/>
                <w:szCs w:val="18"/>
              </w:rPr>
              <w:t xml:space="preserve">Кол-во</w:t>
            </w:r>
          </w:p>
        </w:tc>
      </w:tr>
      <w:tr>
        <w:tc>
          <w:tcPr>
            <w:tcW w:w="52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1</w:t>
            </w:r>
          </w:p>
        </w:tc>
        <w:tc>
          <w:tcPr>
            <w:tcW w:w="23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Комплекс сенсорной интеграции на металлической раме</w:t>
            </w:r>
          </w:p>
        </w:tc>
        <w:tc>
          <w:tcPr>
            <w:tcW w:w="51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Габариты не менее 3000 × 1000 × 2000 мм. Материал рамы — металл с порошковой окраской. Не менее 4 точек подвеса. Регулировка высоты подвеса не менее чем в 3 положениях. Допустимая нагрузка на подвес не менее 50 кг. Возраст пользователей от 3 до 10 лет.</w:t>
            </w:r>
          </w:p>
        </w:tc>
        <w:tc>
          <w:tcPr>
            <w:tcW w:w="78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компл.</w:t>
            </w:r>
          </w:p>
        </w:tc>
        <w:tc>
          <w:tcPr>
            <w:tcW w:w="90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1</w:t>
            </w:r>
          </w:p>
        </w:tc>
      </w:tr>
      <w:tr>
        <w:tc>
          <w:tcPr>
            <w:tcW w:w="52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2</w:t>
            </w:r>
          </w:p>
        </w:tc>
        <w:tc>
          <w:tcPr>
            <w:tcW w:w="23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Тренажёр подвесной типа «качель-платформа»</w:t>
            </w:r>
          </w:p>
        </w:tc>
        <w:tc>
          <w:tcPr>
            <w:tcW w:w="51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Габариты не менее 2000 × 250 мм. Обивка — винилискожа. Совместимость с поставляемой системой подвеса.</w:t>
            </w:r>
          </w:p>
        </w:tc>
        <w:tc>
          <w:tcPr>
            <w:tcW w:w="78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шт.</w:t>
            </w:r>
          </w:p>
        </w:tc>
        <w:tc>
          <w:tcPr>
            <w:tcW w:w="90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1</w:t>
            </w:r>
          </w:p>
        </w:tc>
      </w:tr>
      <w:tr>
        <w:tc>
          <w:tcPr>
            <w:tcW w:w="52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3</w:t>
            </w:r>
          </w:p>
        </w:tc>
        <w:tc>
          <w:tcPr>
            <w:tcW w:w="23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Тренажёр подвесной типа «гамак»</w:t>
            </w:r>
          </w:p>
        </w:tc>
        <w:tc>
          <w:tcPr>
            <w:tcW w:w="51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Материал — плотная эластичная ткань. Допустимая нагрузка не менее 50 кг.</w:t>
            </w:r>
          </w:p>
        </w:tc>
        <w:tc>
          <w:tcPr>
            <w:tcW w:w="78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шт.</w:t>
            </w:r>
          </w:p>
        </w:tc>
        <w:tc>
          <w:tcPr>
            <w:tcW w:w="90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1</w:t>
            </w:r>
          </w:p>
        </w:tc>
      </w:tr>
      <w:tr>
        <w:tc>
          <w:tcPr>
            <w:tcW w:w="52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4</w:t>
            </w:r>
          </w:p>
        </w:tc>
        <w:tc>
          <w:tcPr>
            <w:tcW w:w="23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Тренажёр подвесной типа «диск» или «тарзанка»</w:t>
            </w:r>
          </w:p>
        </w:tc>
        <w:tc>
          <w:tcPr>
            <w:tcW w:w="51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Диаметр сиденья не менее 300 мм. Регулируемая длина подвеса.</w:t>
            </w:r>
          </w:p>
        </w:tc>
        <w:tc>
          <w:tcPr>
            <w:tcW w:w="78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шт.</w:t>
            </w:r>
          </w:p>
        </w:tc>
        <w:tc>
          <w:tcPr>
            <w:tcW w:w="90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1</w:t>
            </w:r>
          </w:p>
        </w:tc>
      </w:tr>
      <w:tr>
        <w:tc>
          <w:tcPr>
            <w:tcW w:w="52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5</w:t>
            </w:r>
          </w:p>
        </w:tc>
        <w:tc>
          <w:tcPr>
            <w:tcW w:w="23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Тренажёр подвесной типа «бревно»</w:t>
            </w:r>
          </w:p>
        </w:tc>
        <w:tc>
          <w:tcPr>
            <w:tcW w:w="51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Длина не менее 1000 мм. Обивка — винилискожа, наполнитель — пенополиуретан.</w:t>
            </w:r>
          </w:p>
        </w:tc>
        <w:tc>
          <w:tcPr>
            <w:tcW w:w="78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шт.</w:t>
            </w:r>
          </w:p>
        </w:tc>
        <w:tc>
          <w:tcPr>
            <w:tcW w:w="90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1</w:t>
            </w:r>
          </w:p>
        </w:tc>
      </w:tr>
      <w:tr>
        <w:tc>
          <w:tcPr>
            <w:tcW w:w="52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6</w:t>
            </w:r>
          </w:p>
        </w:tc>
        <w:tc>
          <w:tcPr>
            <w:tcW w:w="23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Лестница с перекладинами в составе комплекса</w:t>
            </w:r>
          </w:p>
        </w:tc>
        <w:tc>
          <w:tcPr>
            <w:tcW w:w="51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Не менее 5 перекладин. Материал — фанера высшего сорта или металл с покрытием.</w:t>
            </w:r>
          </w:p>
        </w:tc>
        <w:tc>
          <w:tcPr>
            <w:tcW w:w="78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шт.</w:t>
            </w:r>
          </w:p>
        </w:tc>
        <w:tc>
          <w:tcPr>
            <w:tcW w:w="90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1</w:t>
            </w:r>
          </w:p>
        </w:tc>
      </w:tr>
      <w:tr>
        <w:tc>
          <w:tcPr>
            <w:tcW w:w="52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7</w:t>
            </w:r>
          </w:p>
        </w:tc>
        <w:tc>
          <w:tcPr>
            <w:tcW w:w="23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Скалодром навесной</w:t>
            </w:r>
          </w:p>
        </w:tc>
        <w:tc>
          <w:tcPr>
            <w:tcW w:w="51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Высота не менее 1500 мм, ширина не менее 1000 мм. Не менее 15 зацепов различной формы. Крепление к стене или к раме комплекса.</w:t>
            </w:r>
          </w:p>
        </w:tc>
        <w:tc>
          <w:tcPr>
            <w:tcW w:w="78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шт.</w:t>
            </w:r>
          </w:p>
        </w:tc>
        <w:tc>
          <w:tcPr>
            <w:tcW w:w="90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1</w:t>
            </w:r>
          </w:p>
        </w:tc>
      </w:tr>
      <w:tr>
        <w:tc>
          <w:tcPr>
            <w:tcW w:w="52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8</w:t>
            </w:r>
          </w:p>
        </w:tc>
        <w:tc>
          <w:tcPr>
            <w:tcW w:w="23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Мат гимнастический складной</w:t>
            </w:r>
          </w:p>
        </w:tc>
        <w:tc>
          <w:tcPr>
            <w:tcW w:w="51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Габариты не менее 2000 × 1000 мм, толщина не менее 60 мм. Наполнитель — пенополиуретан, обивка — винилискожа.</w:t>
            </w:r>
          </w:p>
        </w:tc>
        <w:tc>
          <w:tcPr>
            <w:tcW w:w="78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шт.</w:t>
            </w:r>
          </w:p>
        </w:tc>
        <w:tc>
          <w:tcPr>
            <w:tcW w:w="90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2</w:t>
            </w:r>
          </w:p>
        </w:tc>
      </w:tr>
      <w:tr>
        <w:tc>
          <w:tcPr>
            <w:tcW w:w="52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9</w:t>
            </w:r>
          </w:p>
        </w:tc>
        <w:tc>
          <w:tcPr>
            <w:tcW w:w="23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Защитное покрытие пола в зоне занятий</w:t>
            </w:r>
          </w:p>
        </w:tc>
        <w:tc>
          <w:tcPr>
            <w:tcW w:w="51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Площадь не менее 9 м², толщина не менее 20 мм. Амортизирующее, нескользящее. Соответствие требованиям пожарной безопасности.</w:t>
            </w:r>
          </w:p>
        </w:tc>
        <w:tc>
          <w:tcPr>
            <w:tcW w:w="78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компл.</w:t>
            </w:r>
          </w:p>
        </w:tc>
        <w:tc>
          <w:tcPr>
            <w:tcW w:w="90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1</w:t>
            </w:r>
          </w:p>
        </w:tc>
      </w:tr>
      <w:tr>
        <w:tc>
          <w:tcPr>
            <w:tcW w:w="52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10</w:t>
            </w:r>
          </w:p>
        </w:tc>
        <w:tc>
          <w:tcPr>
            <w:tcW w:w="23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Балансировочная платформа</w:t>
            </w:r>
          </w:p>
        </w:tc>
        <w:tc>
          <w:tcPr>
            <w:tcW w:w="51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Диаметр не менее 400 мм. Регулируемая или фиксированная степень нестабильности. Нескользящая поверхность.</w:t>
            </w:r>
          </w:p>
        </w:tc>
        <w:tc>
          <w:tcPr>
            <w:tcW w:w="78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шт.</w:t>
            </w:r>
          </w:p>
        </w:tc>
        <w:tc>
          <w:tcPr>
            <w:tcW w:w="90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2</w:t>
            </w:r>
          </w:p>
        </w:tc>
      </w:tr>
      <w:tr>
        <w:tc>
          <w:tcPr>
            <w:tcW w:w="52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11</w:t>
            </w:r>
          </w:p>
        </w:tc>
        <w:tc>
          <w:tcPr>
            <w:tcW w:w="23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Балансировочная доска</w:t>
            </w:r>
          </w:p>
        </w:tc>
        <w:tc>
          <w:tcPr>
            <w:tcW w:w="51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Длина не менее 800 мм. Материал — фанера с покрытием на водной основе.</w:t>
            </w:r>
          </w:p>
        </w:tc>
        <w:tc>
          <w:tcPr>
            <w:tcW w:w="78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шт.</w:t>
            </w:r>
          </w:p>
        </w:tc>
        <w:tc>
          <w:tcPr>
            <w:tcW w:w="90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1</w:t>
            </w:r>
          </w:p>
        </w:tc>
      </w:tr>
      <w:tr>
        <w:tc>
          <w:tcPr>
            <w:tcW w:w="52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12</w:t>
            </w:r>
          </w:p>
        </w:tc>
        <w:tc>
          <w:tcPr>
            <w:tcW w:w="23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Комплект утяжелённых изделий</w:t>
            </w:r>
          </w:p>
        </w:tc>
        <w:tc>
          <w:tcPr>
            <w:tcW w:w="51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Не менее 3 предметов: жилет, одеяло, шарф или подушка. Вес каждого от 1,5 до 4 кг. Материал — хлопок или винилискожа.</w:t>
            </w:r>
          </w:p>
        </w:tc>
        <w:tc>
          <w:tcPr>
            <w:tcW w:w="78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компл.</w:t>
            </w:r>
          </w:p>
        </w:tc>
        <w:tc>
          <w:tcPr>
            <w:tcW w:w="90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1</w:t>
            </w:r>
          </w:p>
        </w:tc>
      </w:tr>
      <w:tr>
        <w:tc>
          <w:tcPr>
            <w:tcW w:w="52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13</w:t>
            </w:r>
          </w:p>
        </w:tc>
        <w:tc>
          <w:tcPr>
            <w:tcW w:w="23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Туннель игровой</w:t>
            </w:r>
          </w:p>
        </w:tc>
        <w:tc>
          <w:tcPr>
            <w:tcW w:w="51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Длина не менее 1800 мм, диаметр не менее 500 мм. Каркас складной. Материал — плотный текстиль.</w:t>
            </w:r>
          </w:p>
        </w:tc>
        <w:tc>
          <w:tcPr>
            <w:tcW w:w="78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шт.</w:t>
            </w:r>
          </w:p>
        </w:tc>
        <w:tc>
          <w:tcPr>
            <w:tcW w:w="90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1</w:t>
            </w:r>
          </w:p>
        </w:tc>
      </w:tr>
      <w:tr>
        <w:tc>
          <w:tcPr>
            <w:tcW w:w="52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14</w:t>
            </w:r>
          </w:p>
        </w:tc>
        <w:tc>
          <w:tcPr>
            <w:tcW w:w="23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Комплект сенсорных мячей</w:t>
            </w:r>
          </w:p>
        </w:tc>
        <w:tc>
          <w:tcPr>
            <w:tcW w:w="51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Не менее 6 шт. различного диаметра (от 60 до 250 мм) и фактуры поверхности. Материал — резина или ПВХ. Изделия относятся к спортивному инвентарю: Наличие документа о подтверждении соответствия по действующим техническим регламентам таможенного союза.</w:t>
            </w:r>
          </w:p>
        </w:tc>
        <w:tc>
          <w:tcPr>
            <w:tcW w:w="78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компл.</w:t>
            </w:r>
          </w:p>
        </w:tc>
        <w:tc>
          <w:tcPr>
            <w:tcW w:w="90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1</w:t>
            </w:r>
          </w:p>
        </w:tc>
      </w:tr>
      <w:tr>
        <w:tc>
          <w:tcPr>
            <w:tcW w:w="52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15</w:t>
            </w:r>
          </w:p>
        </w:tc>
        <w:tc>
          <w:tcPr>
            <w:tcW w:w="23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Фитбол гимнастический</w:t>
            </w:r>
          </w:p>
        </w:tc>
        <w:tc>
          <w:tcPr>
            <w:tcW w:w="51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Не менее 2 шт. диаметром 45 и 65 см. Материал с антиразрывной системой.</w:t>
            </w:r>
          </w:p>
        </w:tc>
        <w:tc>
          <w:tcPr>
            <w:tcW w:w="78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компл.</w:t>
            </w:r>
          </w:p>
        </w:tc>
        <w:tc>
          <w:tcPr>
            <w:tcW w:w="90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1</w:t>
            </w:r>
          </w:p>
        </w:tc>
      </w:tr>
      <w:tr>
        <w:tc>
          <w:tcPr>
            <w:tcW w:w="52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16</w:t>
            </w:r>
          </w:p>
        </w:tc>
        <w:tc>
          <w:tcPr>
            <w:tcW w:w="23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Комплект методических материалов по сенсорной интеграции</w:t>
            </w:r>
          </w:p>
        </w:tc>
        <w:tc>
          <w:tcPr>
            <w:tcW w:w="51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Не менее 3 пособий. Описание не менее 50 упражнений с указанием целевых групп.</w:t>
            </w:r>
          </w:p>
        </w:tc>
        <w:tc>
          <w:tcPr>
            <w:tcW w:w="78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компл.</w:t>
            </w:r>
          </w:p>
        </w:tc>
        <w:tc>
          <w:tcPr>
            <w:tcW w:w="90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1</w:t>
            </w:r>
          </w:p>
        </w:tc>
      </w:tr>
    </w:tbl>
    <w:p>
      <w:pPr>
        <w:spacing w:before="120" w:after="120" w:line="264" w:lineRule="auto"/>
      </w:pPr>
      <w:r>
        <w:rPr>
          <w:sz w:val="19"/>
          <w:szCs w:val="19"/>
        </w:rPr>
        <w:t xml:space="preserve">Всего позиций: 16. Единицы измерения указаны в соответствии с Общероссийским классификатором единиц измерения (ОК 015-94). Количество по каждой позиции корректируется заказчиком под фактическую площадь помещения и число обучающихся.</w:t>
      </w:r>
    </w:p>
    <w:p>
      <w:pPr>
        <w:spacing w:before="240" w:after="120" w:line="264" w:lineRule="auto"/>
      </w:pPr>
      <w:r>
        <w:rPr>
          <w:b/>
          <w:sz w:val="26"/>
          <w:szCs w:val="26"/>
        </w:rPr>
        <w:t xml:space="preserve">5. Требования к поставке и передаче товара</w:t>
      </w:r>
    </w:p>
    <w:p>
      <w:pPr>
        <w:spacing w:before="0" w:after="120" w:line="264" w:lineRule="auto"/>
      </w:pPr>
      <w:r>
        <w:rPr>
          <w:sz w:val="24"/>
          <w:szCs w:val="24"/>
        </w:rPr>
        <w:t xml:space="preserve">5.1. Поставка осуществляется силами и за счёт поставщика по адресу, указанному в пункте 1.3, включая разгрузку и занос в помещение.</w:t>
      </w:r>
    </w:p>
    <w:p>
      <w:pPr>
        <w:spacing w:before="0" w:after="120" w:line="264" w:lineRule="auto"/>
      </w:pPr>
      <w:r>
        <w:rPr>
          <w:sz w:val="24"/>
          <w:szCs w:val="24"/>
        </w:rPr>
        <w:t xml:space="preserve">5.2. Сборка, установка, крепление к строительным конструкциям и монтаж не входят в предмет поставки. Заказчик организует эти работы самостоятельно либо привлекает выбранного квалифицированного исполнителя с соблюдением инструкций изготовителя.</w:t>
      </w:r>
    </w:p>
    <w:p>
      <w:pPr>
        <w:spacing w:before="0" w:after="120" w:line="264" w:lineRule="auto"/>
      </w:pPr>
      <w:r>
        <w:rPr>
          <w:sz w:val="24"/>
          <w:szCs w:val="24"/>
        </w:rPr>
        <w:t xml:space="preserve">5.3. Оборудование, требующее квалифицированного подключения к электрической сети или инженерным системам, передаётся без такого подключения. Подключение организует заказчик через выбранного квалифицированного исполнителя. При приёмке проверяются режимы, доступные без сборки, монтажа и подключения.</w:t>
      </w:r>
    </w:p>
    <w:p>
      <w:pPr>
        <w:spacing w:before="0" w:after="120" w:line="264" w:lineRule="auto"/>
      </w:pPr>
      <w:r>
        <w:rPr>
          <w:sz w:val="24"/>
          <w:szCs w:val="24"/>
        </w:rPr>
        <w:t xml:space="preserve">5.4. Поставщик проводит инструктаж работников заказчика по эксплуатации поставленного оборудования продолжительностью не менее одного часа. Факт проведения инструктажа фиксируется в акте.</w:t>
      </w:r>
    </w:p>
    <w:p>
      <w:pPr>
        <w:spacing w:before="0" w:after="120" w:line="264" w:lineRule="auto"/>
      </w:pPr>
      <w:r>
        <w:rPr>
          <w:sz w:val="24"/>
          <w:szCs w:val="24"/>
        </w:rPr>
        <w:t xml:space="preserve">5.5. Упаковочные материалы вывозятся поставщиком.</w:t>
      </w:r>
    </w:p>
    <w:p>
      <w:pPr>
        <w:spacing w:before="240" w:after="120" w:line="264" w:lineRule="auto"/>
      </w:pPr>
      <w:r>
        <w:rPr>
          <w:b/>
          <w:sz w:val="26"/>
          <w:szCs w:val="26"/>
        </w:rPr>
        <w:t xml:space="preserve">6. Требования к гарантии качества товара</w:t>
      </w:r>
    </w:p>
    <w:p>
      <w:pPr>
        <w:spacing w:before="0" w:after="120" w:line="264" w:lineRule="auto"/>
      </w:pPr>
      <w:r>
        <w:rPr>
          <w:sz w:val="24"/>
          <w:szCs w:val="24"/>
        </w:rPr>
        <w:t xml:space="preserve">6.1. Гарантийный срок — не менее 12 месяцев с даты подписания документа о приёмке, если для отдельных позиций изготовителем не установлен больший срок.</w:t>
      </w:r>
    </w:p>
    <w:p>
      <w:pPr>
        <w:spacing w:before="0" w:after="120" w:line="264" w:lineRule="auto"/>
      </w:pPr>
      <w:r>
        <w:rPr>
          <w:sz w:val="24"/>
          <w:szCs w:val="24"/>
        </w:rPr>
        <w:t xml:space="preserve">6.2. На оборудование, относящееся к машинам и оборудованию, поставщик предоставляет гарантию производителя (часть 4 статьи 33 Федерального закона № 44-ФЗ).</w:t>
      </w:r>
    </w:p>
    <w:p>
      <w:pPr>
        <w:spacing w:before="0" w:after="120" w:line="264" w:lineRule="auto"/>
      </w:pPr>
      <w:r>
        <w:rPr>
          <w:sz w:val="24"/>
          <w:szCs w:val="24"/>
        </w:rPr>
        <w:t xml:space="preserve">6.3. В течение гарантийного срока поставщик за свой счёт устраняет недостатки либо заменяет товар ненадлежащего качества в срок не более 30 календарных дней с даты получения уведомления заказчика.</w:t>
      </w:r>
    </w:p>
    <w:p>
      <w:pPr>
        <w:spacing w:before="0" w:after="120" w:line="264" w:lineRule="auto"/>
      </w:pPr>
      <w:r>
        <w:rPr>
          <w:sz w:val="24"/>
          <w:szCs w:val="24"/>
        </w:rPr>
        <w:t xml:space="preserve">6.4. Поставщик обеспечивает консультационную поддержку по вопросам эксплуатации в течение всего гарантийного срока.</w:t>
      </w:r>
    </w:p>
    <w:p>
      <w:pPr>
        <w:spacing w:before="240" w:after="120" w:line="264" w:lineRule="auto"/>
      </w:pPr>
      <w:r>
        <w:rPr>
          <w:b/>
          <w:sz w:val="26"/>
          <w:szCs w:val="26"/>
        </w:rPr>
        <w:t xml:space="preserve">7. Требования к сопроводительной документации</w:t>
      </w:r>
    </w:p>
    <w:p>
      <w:pPr>
        <w:spacing w:before="0" w:after="120" w:line="264" w:lineRule="auto"/>
      </w:pPr>
      <w:r>
        <w:rPr>
          <w:sz w:val="24"/>
          <w:szCs w:val="24"/>
        </w:rPr>
        <w:t xml:space="preserve">Одновременно с товаром заказчику передаются:</w:t>
      </w:r>
    </w:p>
    <w:p>
      <w:pPr>
        <w:spacing w:before="0" w:after="120" w:line="264" w:lineRule="auto"/>
        <w:ind w:left="340"/>
      </w:pPr>
      <w:r>
        <w:rPr>
          <w:sz w:val="24"/>
          <w:szCs w:val="24"/>
        </w:rPr>
        <w:t xml:space="preserve">— сертификаты соответствия или декларации о соответствии на продукцию, подлежащую обязательному подтверждению соответствия;</w:t>
      </w:r>
    </w:p>
    <w:p>
      <w:pPr>
        <w:spacing w:before="0" w:after="120" w:line="264" w:lineRule="auto"/>
        <w:ind w:left="340"/>
      </w:pPr>
      <w:r>
        <w:rPr>
          <w:sz w:val="24"/>
          <w:szCs w:val="24"/>
        </w:rPr>
        <w:t xml:space="preserve">— паспорта изделий и инструкции по эксплуатации на русском языке;</w:t>
      </w:r>
    </w:p>
    <w:p>
      <w:pPr>
        <w:spacing w:before="0" w:after="120" w:line="264" w:lineRule="auto"/>
        <w:ind w:left="340"/>
      </w:pPr>
      <w:r>
        <w:rPr>
          <w:sz w:val="24"/>
          <w:szCs w:val="24"/>
        </w:rPr>
        <w:t xml:space="preserve">— гарантийные талоны с указанием даты начала гарантийного срока;</w:t>
      </w:r>
    </w:p>
    <w:p>
      <w:pPr>
        <w:spacing w:before="0" w:after="120" w:line="264" w:lineRule="auto"/>
        <w:ind w:left="340"/>
      </w:pPr>
      <w:r>
        <w:rPr>
          <w:sz w:val="24"/>
          <w:szCs w:val="24"/>
        </w:rPr>
        <w:t xml:space="preserve">— руководства по сборке для оборудования, поставляемого в разобранном виде.</w:t>
      </w:r>
    </w:p>
    <w:p>
      <w:pPr>
        <w:spacing w:before="240" w:after="120" w:line="264" w:lineRule="auto"/>
      </w:pPr>
      <w:r>
        <w:rPr>
          <w:b/>
          <w:sz w:val="26"/>
          <w:szCs w:val="26"/>
        </w:rPr>
        <w:t xml:space="preserve">8. Порядок приёмки</w:t>
      </w:r>
    </w:p>
    <w:p>
      <w:pPr>
        <w:spacing w:before="0" w:after="120" w:line="264" w:lineRule="auto"/>
      </w:pPr>
      <w:r>
        <w:rPr>
          <w:sz w:val="24"/>
          <w:szCs w:val="24"/>
        </w:rPr>
        <w:t xml:space="preserve">8.1. Приёмка осуществляется по количеству и качеству в соответствии со спецификацией к контракту.</w:t>
      </w:r>
    </w:p>
    <w:p>
      <w:pPr>
        <w:spacing w:before="0" w:after="120" w:line="264" w:lineRule="auto"/>
      </w:pPr>
      <w:r>
        <w:rPr>
          <w:sz w:val="24"/>
          <w:szCs w:val="24"/>
        </w:rPr>
        <w:t xml:space="preserve">8.2. Документ о приёмке формируется и подписывается усиленной квалифицированной электронной подписью в единой информационной системе в сфере закупок в порядке, установленном частью 13 статьи 94 Федерального закона № 44-ФЗ. Датой приёмки считается дата размещения в единой информационной системе документа о приёмке, подписанного заказчиком.</w:t>
      </w:r>
    </w:p>
    <w:p>
      <w:pPr>
        <w:spacing w:before="0" w:after="120" w:line="264" w:lineRule="auto"/>
      </w:pPr>
      <w:r>
        <w:rPr>
          <w:sz w:val="24"/>
          <w:szCs w:val="24"/>
        </w:rPr>
        <w:t xml:space="preserve">8.3. При обнаружении несоответствия заказчик формирует мотивированный отказ от подписания документа о приёмке с указанием выявленных недостатков и срока их устранения.</w:t>
      </w:r>
    </w:p>
    <w:p>
      <w:pPr>
        <w:spacing w:before="0" w:after="120" w:line="264" w:lineRule="auto"/>
      </w:pPr>
      <w:r>
        <w:rPr>
          <w:sz w:val="24"/>
          <w:szCs w:val="24"/>
        </w:rPr>
        <w:t xml:space="preserve">8.4. Приёмка поставки не включает отдельно организуемые заказчиком сборку, установку, крепление, монтаж и подключение. Недостатки товара, обнаруженные при последующей сборке или установке по инструкции изготовителя, фиксируются заказчиком и предъявляются поставщику в порядке, установленном контрактом и гарантией.</w:t>
      </w:r>
    </w:p>
    <w:p>
      <w:pPr>
        <w:spacing w:before="0" w:after="120" w:line="264" w:lineRule="auto"/>
      </w:pPr>
      <w:r>
        <w:t xml:space="preserve"> </w:t>
      </w:r>
    </w:p>
    <w:p>
      <w:pPr>
        <w:spacing w:before="240" w:after="0" w:line="264" w:lineRule="auto"/>
      </w:pPr>
      <w:r>
        <w:rPr>
          <w:sz w:val="24"/>
          <w:szCs w:val="24"/>
        </w:rPr>
        <w:t xml:space="preserve">Разработал: _____________________________ / __________________</w:t>
      </w:r>
    </w:p>
    <w:p>
      <w:pPr>
        <w:spacing w:before="0" w:after="120" w:line="264" w:lineRule="auto"/>
        <w:ind w:left="680"/>
      </w:pPr>
      <w:r>
        <w:rPr>
          <w:sz w:val="16"/>
          <w:szCs w:val="16"/>
        </w:rPr>
        <w:t xml:space="preserve">(должность, подпись)                                  (инициалы, фамилия)</w:t>
      </w:r>
    </w:p>
    <w:p>
      <w:pPr>
        <w:spacing w:before="160" w:after="0" w:line="264" w:lineRule="auto"/>
      </w:pPr>
      <w:r>
        <w:rPr>
          <w:sz w:val="24"/>
          <w:szCs w:val="24"/>
        </w:rPr>
        <w:t xml:space="preserve">Согласовано: ____________________________ / __________________</w:t>
      </w:r>
    </w:p>
    <w:p>
      <w:pPr>
        <w:spacing w:before="0" w:after="120" w:line="264" w:lineRule="auto"/>
        <w:ind w:left="680"/>
      </w:pPr>
      <w:r>
        <w:rPr>
          <w:sz w:val="16"/>
          <w:szCs w:val="16"/>
        </w:rPr>
        <w:t xml:space="preserve">(должность, подпись)                                  (инициалы, фамилия)</w:t>
      </w:r>
    </w:p>
    <w:sectPr>
      <w:pgSz w:w="11906" w:h="16838"/>
      <w:pgMar w:top="1134" w:right="850" w:bottom="1134" w:left="1134" w:header="708" w:footer="708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Times New Roman" w:hAnsi="Times New Roman" w:cs="Times New Roman"/>
        <w:sz w:val="24"/>
        <w:szCs w:val="24"/>
        <w:lang w:val="ru-RU"/>
      </w:rPr>
    </w:rPrDefault>
  </w:docDefaults>
  <w:style w:type="paragraph" w:default="1" w:styleId="Normal">
    <w:name w:val="Normal"/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/></Relationships>
</file>