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0" w:after="0" w:line="264" w:lineRule="auto"/>
      </w:pPr>
      <w:r>
        <w:rPr>
          <w:sz w:val="20"/>
          <w:szCs w:val="20"/>
        </w:rPr>
        <w:t xml:space="preserve">Приложение № ____</w:t>
      </w:r>
    </w:p>
    <w:p>
      <w:pPr>
        <w:spacing w:before="0" w:after="60" w:line="264" w:lineRule="auto"/>
      </w:pPr>
      <w:r>
        <w:rPr>
          <w:sz w:val="20"/>
          <w:szCs w:val="20"/>
        </w:rPr>
        <w:t xml:space="preserve">к извещению об осуществлении закупки</w:t>
      </w:r>
    </w:p>
    <w:p>
      <w:pPr>
        <w:spacing w:before="0" w:after="0" w:line="264" w:lineRule="auto"/>
        <w:jc w:val="right"/>
      </w:pPr>
      <w:r>
        <w:rPr>
          <w:sz w:val="20"/>
          <w:szCs w:val="20"/>
        </w:rPr>
        <w:t xml:space="preserve">УТВЕРЖДАЮ</w:t>
      </w:r>
    </w:p>
    <w:p>
      <w:pPr>
        <w:spacing w:before="0" w:after="0" w:line="264" w:lineRule="auto"/>
        <w:jc w:val="right"/>
      </w:pPr>
      <w:r>
        <w:rPr>
          <w:sz w:val="20"/>
          <w:szCs w:val="20"/>
        </w:rPr>
        <w:t xml:space="preserve">Заведующий (директор) _____________________</w:t>
      </w:r>
    </w:p>
    <w:p>
      <w:pPr>
        <w:spacing w:before="0" w:after="0" w:line="264" w:lineRule="auto"/>
        <w:jc w:val="right"/>
      </w:pPr>
      <w:r>
        <w:rPr>
          <w:sz w:val="16"/>
          <w:szCs w:val="16"/>
        </w:rPr>
        <w:t xml:space="preserve">(наименование должности руководителя заказчика)</w:t>
      </w:r>
    </w:p>
    <w:p>
      <w:pPr>
        <w:spacing w:before="0" w:after="0" w:line="264" w:lineRule="auto"/>
        <w:jc w:val="right"/>
      </w:pPr>
      <w:r>
        <w:rPr>
          <w:sz w:val="20"/>
          <w:szCs w:val="20"/>
        </w:rPr>
        <w:t xml:space="preserve">______________ / _____________________</w:t>
      </w:r>
    </w:p>
    <w:p>
      <w:pPr>
        <w:spacing w:before="0" w:after="0" w:line="264" w:lineRule="auto"/>
        <w:jc w:val="right"/>
      </w:pPr>
      <w:r>
        <w:rPr>
          <w:sz w:val="16"/>
          <w:szCs w:val="16"/>
        </w:rPr>
        <w:t xml:space="preserve">(подпись)              (инициалы, фамилия)</w:t>
      </w:r>
    </w:p>
    <w:p>
      <w:pPr>
        <w:spacing w:before="0" w:after="0" w:line="264" w:lineRule="auto"/>
        <w:jc w:val="right"/>
      </w:pPr>
      <w:r>
        <w:rPr>
          <w:sz w:val="20"/>
          <w:szCs w:val="20"/>
        </w:rPr>
        <w:t xml:space="preserve">«____» ______________ 20____ г.</w:t>
      </w:r>
    </w:p>
    <w:p>
      <w:pPr>
        <w:spacing w:before="0" w:after="120" w:line="264" w:lineRule="auto"/>
      </w:pPr>
      <w:r>
        <w:t xml:space="preserve"> </w:t>
      </w:r>
    </w:p>
    <w:p>
      <w:pPr>
        <w:spacing w:before="0" w:after="40" w:line="264" w:lineRule="auto"/>
        <w:jc w:val="center"/>
      </w:pPr>
      <w:r>
        <w:rPr>
          <w:b/>
          <w:sz w:val="28"/>
          <w:szCs w:val="28"/>
        </w:rPr>
        <w:t xml:space="preserve">ТЕХНИЧЕСКОЕ ЗАДАНИЕ</w:t>
      </w:r>
    </w:p>
    <w:p>
      <w:pPr>
        <w:spacing w:before="0" w:after="40" w:line="264" w:lineRule="auto"/>
        <w:jc w:val="center"/>
      </w:pPr>
      <w:r>
        <w:rPr>
          <w:sz w:val="22"/>
          <w:szCs w:val="22"/>
        </w:rPr>
        <w:t xml:space="preserve">(описание объекта закупки)</w:t>
      </w:r>
    </w:p>
    <w:p>
      <w:pPr>
        <w:spacing w:before="0" w:after="40" w:line="264" w:lineRule="auto"/>
        <w:jc w:val="center"/>
      </w:pPr>
      <w:r>
        <w:rPr>
          <w:sz w:val="24"/>
          <w:szCs w:val="24"/>
        </w:rPr>
        <w:t xml:space="preserve">на поставку оборудования для оснащения</w:t>
      </w:r>
    </w:p>
    <w:p>
      <w:pPr>
        <w:spacing w:before="0" w:after="160" w:line="264" w:lineRule="auto"/>
        <w:jc w:val="center"/>
      </w:pPr>
      <w:r>
        <w:rPr>
          <w:b/>
          <w:sz w:val="26"/>
          <w:szCs w:val="26"/>
        </w:rPr>
        <w:t xml:space="preserve">«Сенсорная комната (светлая)»</w:t>
      </w:r>
    </w:p>
    <w:p>
      <w:pPr>
        <w:spacing w:before="80" w:after="60" w:line="264" w:lineRule="auto"/>
        <w:jc w:val="center"/>
      </w:pPr>
      <w:r>
        <w:rPr>
          <w:b/>
          <w:sz w:val="23"/>
          <w:szCs w:val="23"/>
        </w:rPr>
        <w:t xml:space="preserve">ВАЖНО: ДОКУМЕНТ ТРЕБУЕТ АДАПТАЦИИ</w:t>
      </w:r>
    </w:p>
    <w:p>
      <w:pPr>
        <w:spacing w:before="0" w:after="160" w:line="264" w:lineRule="auto"/>
      </w:pPr>
      <w:r>
        <w:rPr>
          <w:b/>
          <w:sz w:val="20"/>
          <w:szCs w:val="20"/>
        </w:rPr>
        <w:t xml:space="preserve">Это редактируемый шаблон, а не готовая закупочная документация. До утверждения и размещения заказчик проверяет и адаптирует объект закупки, состав, количество, характеристики, сроки и условия поставки с учётом статьи 33 Федерального закона № 44-ФЗ, актуальных позиций КТРУ, национального режима, потребностей учреждения и условий конкретной процедуры.</w:t>
      </w:r>
    </w:p>
    <w:p>
      <w:pPr>
        <w:spacing w:before="200" w:after="120" w:line="264" w:lineRule="auto"/>
      </w:pPr>
      <w:r>
        <w:rPr>
          <w:b/>
          <w:sz w:val="26"/>
          <w:szCs w:val="26"/>
        </w:rPr>
        <w:t xml:space="preserve">1. Общие сведения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1.1. Заказчик: __________________________________________________________________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1.2. Объект закупки: поставка оборудования — оснащение светлой (активационной) сенсорной комнаты для развивающих занятий и стимуляции познавательной активности обучающихся.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1.3. Место поставки: _________________________________________________________________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1.4. Срок поставки: в течение ________ календарных дней с даты заключения контракта.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1.5. Минимальная площадь помещения для размещения комплекта — не менее 18 м². Точный состав уточняется по фактической планировке помещения.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1.6. Итоговая редакция технического задания утверждается заказчиком после проверки и адаптации описания объекта закупки в соответствии со статьёй 33 Федерального закона от 05.04.2013 № 44-ФЗ.</w:t>
      </w:r>
    </w:p>
    <w:p>
      <w:pPr>
        <w:spacing w:before="240" w:after="120" w:line="264" w:lineRule="auto"/>
      </w:pPr>
      <w:r>
        <w:rPr>
          <w:b/>
          <w:sz w:val="26"/>
          <w:szCs w:val="26"/>
        </w:rPr>
        <w:t xml:space="preserve">2. Нормативные документы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Поставляемый товар должен соответствовать требованиям следующих документов в редакции, действующей на дату поставки: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Федеральный закон от 05.04.2013 № 44-ФЗ «О контрактной системе в сфере закупок товаров, работ, услуг для обеспечения государственных и муниципальных нужд»;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технический регламент Таможенного союза ТР ТС 008/2011 «О безопасности игрушек»;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технический регламент Таможенного союза ТР ТС 025/2012 «О безопасности мебельной продукции»;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технический регламент Таможенного союза ТР ТС 004/2011 «О безопасности низковольтного оборудования» и ТР ТС 020/2011 «Электромагнитная совместимость технических средств» — для оборудования, подключаемого к электрической сети;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СП 2.4.3648-20 «Санитарно-эпидемиологические требования к организациям воспитания и обучения, отдыха и оздоровления детей и молодёжи»;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национальные стандарты на мебель для образовательных организаций, действующие на дату поставки.</w:t>
      </w:r>
    </w:p>
    <w:p>
      <w:pPr>
        <w:spacing w:before="240" w:after="120" w:line="264" w:lineRule="auto"/>
      </w:pPr>
      <w:r>
        <w:rPr>
          <w:b/>
          <w:sz w:val="26"/>
          <w:szCs w:val="26"/>
        </w:rPr>
        <w:t xml:space="preserve">3. Общие требования к поставляемому товару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3.1. Товар должен быть новым, не бывшим в употреблении, не восстановленным, без дефектов; год выпуска — не ранее года, предшествующего году поставки.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3.2. На товар, подлежащий обязательному подтверждению соответствия, поставщик представляет сертификаты соответствия либо декларации о соответствии. Документы передаются заказчику одновременно с товаром.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3.3. Материалы, контактирующие с обучающимися, должны быть нетоксичными и допускать обработку дезинфицирующими средствами. Конструкции не должны иметь острых углов, кромок и выступающих креплений в зоне доступа детей.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3.4. Мебель поставляется с цветовой маркировкой номера мебели (ростовой группы) в соответствии с таблицей 6.2 СанПиН 1.2.3685-21. Номера мебели уточняются заказчиком при заключении контракта исходя из состава обучающихся.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3.5. Описание объекта закупки не содержит указаний на товарные знаки, знаки обслуживания, фирменные наименования, патенты, полезные модели, промышленные образцы, наименование страны происхождения товара, требования к производителю товара, к участнику закупки, его деловой репутации, опыту работы, наличию у него производственных мощностей и трудовых ресурсов. Все характеристики приведены в виде максимальных и (или) минимальных значений либо значений, которые не могут изменяться (часть 2 статьи 33 Федерального закона № 44-ФЗ). Если в описании отдельной позиции по объективным причинам приведено указание на товарный знак, такое указание сопровождается словами «или эквивалент» с указанием параметров эквивалентности.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3.6. При наличии в каталоге товаров, работ, услуг для обеспечения государственных и муниципальных нужд (КТРУ) позиции, соответствующей объекту закупки, применяются наименование, единица измерения и характеристики товара из соответствующей позиции каталога (Правила использования КТРУ, утверждённые постановлением Правительства Российской Федерации от 08.02.2017 № 145).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3.7. К закупке применяются условия допуска, запреты и ограничения на товары, происходящие из иностранных государств, установленные постановлением Правительства Российской Федерации от 23.12.2024 № 1875. Подтверждение страны происхождения товара осуществляется в порядке, предусмотренном указанным постановлением, в том числе выпиской из реестра российской промышленной продукции.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3.8. Товар поставляется в упаковке, обеспечивающей сохранность при транспортировании и хранении.</w:t>
      </w:r>
    </w:p>
    <w:p>
      <w:pPr>
        <w:spacing w:before="240" w:after="140" w:line="264" w:lineRule="auto"/>
      </w:pPr>
      <w:r>
        <w:rPr>
          <w:b/>
          <w:sz w:val="26"/>
          <w:szCs w:val="26"/>
        </w:rPr>
        <w:t xml:space="preserve">4. Перечень поставляемого оборудования и требования к характеристикам</w:t>
      </w:r>
    </w:p>
    <w:tbl>
      <w:tblPr>
        <w:tblW w:w="0" w:type="auto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</w:tblPr>
      <w:tblGrid>
        <w:gridCol w:w="520"/>
        <w:gridCol w:w="2300"/>
        <w:gridCol w:w="5100"/>
        <w:gridCol w:w="780"/>
        <w:gridCol w:w="900"/>
      </w:tblGrid>
      <w:tr>
        <w:trPr>
          <w:tblHeader/>
        </w:trPr>
        <w:tc>
          <w:tcPr>
            <w:tcW w:w="520" w:type="dxa"/>
            <w:shd w:val="clear" w:color="auto" w:fill="EFF2F6"/>
            <w:vAlign w:val="top"/>
          </w:tcPr>
          <w:p>
            <w:pPr>
              <w:spacing w:before="0" w:after="0" w:line="264" w:lineRule="auto"/>
            </w:pPr>
            <w:r>
              <w:rPr>
                <w:b/>
                <w:sz w:val="18"/>
                <w:szCs w:val="18"/>
              </w:rPr>
              <w:t xml:space="preserve">№</w:t>
            </w:r>
          </w:p>
        </w:tc>
        <w:tc>
          <w:tcPr>
            <w:tcW w:w="2300" w:type="dxa"/>
            <w:shd w:val="clear" w:color="auto" w:fill="EFF2F6"/>
            <w:vAlign w:val="top"/>
          </w:tcPr>
          <w:p>
            <w:pPr>
              <w:spacing w:before="0" w:after="0" w:line="264" w:lineRule="auto"/>
            </w:pPr>
            <w:r>
              <w:rPr>
                <w:b/>
                <w:sz w:val="18"/>
                <w:szCs w:val="18"/>
              </w:rPr>
              <w:t xml:space="preserve">Наименование товара</w:t>
            </w:r>
          </w:p>
        </w:tc>
        <w:tc>
          <w:tcPr>
            <w:tcW w:w="5100" w:type="dxa"/>
            <w:shd w:val="clear" w:color="auto" w:fill="EFF2F6"/>
            <w:vAlign w:val="top"/>
          </w:tcPr>
          <w:p>
            <w:pPr>
              <w:spacing w:before="0" w:after="0" w:line="264" w:lineRule="auto"/>
            </w:pPr>
            <w:r>
              <w:rPr>
                <w:b/>
                <w:sz w:val="18"/>
                <w:szCs w:val="18"/>
              </w:rPr>
              <w:t xml:space="preserve">Требуемые функциональные, технические, качественные и эксплуатационные характеристики</w:t>
            </w:r>
          </w:p>
        </w:tc>
        <w:tc>
          <w:tcPr>
            <w:tcW w:w="780" w:type="dxa"/>
            <w:shd w:val="clear" w:color="auto" w:fill="EFF2F6"/>
            <w:vAlign w:val="top"/>
          </w:tcPr>
          <w:p>
            <w:pPr>
              <w:spacing w:before="0" w:after="0" w:line="264" w:lineRule="auto"/>
            </w:pPr>
            <w:r>
              <w:rPr>
                <w:b/>
                <w:sz w:val="18"/>
                <w:szCs w:val="18"/>
              </w:rPr>
              <w:t xml:space="preserve">Ед. изм.</w:t>
            </w:r>
          </w:p>
        </w:tc>
        <w:tc>
          <w:tcPr>
            <w:tcW w:w="900" w:type="dxa"/>
            <w:shd w:val="clear" w:color="auto" w:fill="EFF2F6"/>
            <w:vAlign w:val="top"/>
          </w:tcPr>
          <w:p>
            <w:pPr>
              <w:spacing w:before="0" w:after="0" w:line="264" w:lineRule="auto"/>
            </w:pPr>
            <w:r>
              <w:rPr>
                <w:b/>
                <w:sz w:val="18"/>
                <w:szCs w:val="18"/>
              </w:rPr>
              <w:t xml:space="preserve">Кол-во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1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Стол для рисования песком с подсветкой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Рабочая поверхность не менее 600 × 400 мм. Разноцветная светодиодная подсветка с управлением. Отсек для хранения песка. Песок кварцевый прокалённый в комплекте.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2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Планшет для рисования песком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Габариты не менее 500 × 300 мм. Подсветка белого свечения. Отсек для песка.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2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3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Комплект инструментов для песочной терапии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Не менее 8 предметов. Материал — преимущественно дерево с покрытием на водной основе.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компл.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4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Панель дидактическая настенная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Габариты не менее 1500 × 600 мм. Материал — берёзовая фанера, УФ-печать, лак на водной основе. Сменные элементы на липучках.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2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5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Бизиборд настенный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Габариты не менее 600 × 600 мм. Не менее 10 развивающих элементов. Все элементы закреплены, исключено отсоединение ребёнком.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2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6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Панель тактильная с различными фактурами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Габариты не менее 600 × 600 мм. Не менее 6 различных фактур. Материал — дерево, текстиль или полимер. Крепление настенное. Наличие документа о подтверждении соответствия по действующим техническим регламентам Таможенного союза.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2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7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Комплект сенсорных тактильных пластин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Не менее 8 элементов. Материал — дерево или полимер.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компл.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8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Шумовой набор парных коробочек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Не менее 16 элементов, не менее 8 видов наполнения.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компл.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9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Мягкий модуль-конструктор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Не менее 10 элементов. Наполнитель — пенополиуретан, обивка — винилискожа. Не менее 3 вариантов сборки.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компл.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10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Мягкий игровой комплекс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Не менее 7 элементов, габариты в сборе не менее 1500 × 1000 мм. Обивка — винилискожа.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компл.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11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Мат напольный мягкий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Габариты не менее 1500 × 1000 мм, толщина не менее 40 мм.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2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12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Стол детский регулируемый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Регулировка высоты под номера мебели с 0 по 3 по таблице 6.2 СанПиН 1.2.3685-21 (высота до крышки 400–580 мм). Габариты не менее 1000 × 600 мм. Кромки скруглённые.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2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13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Стул детский регулируемый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Номера мебели с 0 по 3 по таблице 6.2 СанПиН 1.2.3685-21 (высота сиденья 220–340 мм). Цветовая маркировка номера мебели.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6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14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Пуф мягкий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Габариты не менее 400 × 400 × 400 мм. Наполнитель — пенополиуретан или пенополистирол. Обивка допускает обработку дезсредствами. Допустимая нагрузка не менее 50 кг.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4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15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Стеллаж открытый для пособий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Габариты не менее 900 × 350 × 1200 мм. Материал ЛДСП не менее 16 мм. Крепление к стене от опрокидывания.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16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Комплект развивающих настольных игр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Не менее 10 игр. Возрастная адресация — от 3 до 10 лет, указана на упаковке. Направления: сенсорное восприятие, логика, счёт, речь. Материал — картон, дерево или полимер.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компл.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17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Набор для развития мелкой моторики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Не менее 10 предметов различной фактуры и размера.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компл.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18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Зеркало настенное безопасное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Габариты не менее 1000 × 600 мм. Материал — безопасное стекло или акрил. Крепление настенное.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19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Ковровое покрытие зоны занятий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Площадь не менее 6 м². Материал допускает влажную уборку. Антискользящее основание. Соответствие требованиям пожарной безопасности.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компл.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</w:tbl>
    <w:p>
      <w:pPr>
        <w:spacing w:before="120" w:after="120" w:line="264" w:lineRule="auto"/>
      </w:pPr>
      <w:r>
        <w:rPr>
          <w:sz w:val="19"/>
          <w:szCs w:val="19"/>
        </w:rPr>
        <w:t xml:space="preserve">Всего позиций: 19. Единицы измерения указаны в соответствии с Общероссийским классификатором единиц измерения (ОК 015-94). Количество по каждой позиции корректируется заказчиком под фактическую площадь помещения и число обучающихся.</w:t>
      </w:r>
    </w:p>
    <w:p>
      <w:pPr>
        <w:spacing w:before="240" w:after="120" w:line="264" w:lineRule="auto"/>
      </w:pPr>
      <w:r>
        <w:rPr>
          <w:b/>
          <w:sz w:val="26"/>
          <w:szCs w:val="26"/>
        </w:rPr>
        <w:t xml:space="preserve">5. Требования к поставке и передаче товара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5.1. Поставка осуществляется силами и за счёт поставщика по адресу, указанному в пункте 1.3, включая разгрузку и занос в помещение.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5.2. Сборка, установка, крепление к строительным конструкциям и монтаж не входят в предмет поставки. Заказчик организует эти работы самостоятельно либо привлекает выбранного квалифицированного исполнителя с соблюдением инструкций изготовителя.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5.3. Оборудование, требующее квалифицированного подключения к электрической сети или инженерным системам, передаётся без такого подключения. Подключение организует заказчик через выбранного квалифицированного исполнителя. При приёмке проверяются режимы, доступные без сборки, монтажа и подключения.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5.4. Поставщик проводит инструктаж работников заказчика по эксплуатации поставленного оборудования продолжительностью не менее одного часа. Факт проведения инструктажа фиксируется в акте.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5.5. Упаковочные материалы вывозятся поставщиком.</w:t>
      </w:r>
    </w:p>
    <w:p>
      <w:pPr>
        <w:spacing w:before="240" w:after="120" w:line="264" w:lineRule="auto"/>
      </w:pPr>
      <w:r>
        <w:rPr>
          <w:b/>
          <w:sz w:val="26"/>
          <w:szCs w:val="26"/>
        </w:rPr>
        <w:t xml:space="preserve">6. Требования к гарантии качества товара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6.1. Гарантийный срок — не менее 12 месяцев с даты подписания документа о приёмке, если для отдельных позиций изготовителем не установлен больший срок.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6.2. На оборудование, относящееся к машинам и оборудованию, поставщик предоставляет гарантию производителя (часть 4 статьи 33 Федерального закона № 44-ФЗ).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6.3. В течение гарантийного срока поставщик за свой счёт устраняет недостатки либо заменяет товар ненадлежащего качества в срок не более 30 календарных дней с даты получения уведомления заказчика.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6.4. Поставщик обеспечивает консультационную поддержку по вопросам эксплуатации в течение всего гарантийного срока.</w:t>
      </w:r>
    </w:p>
    <w:p>
      <w:pPr>
        <w:spacing w:before="240" w:after="120" w:line="264" w:lineRule="auto"/>
      </w:pPr>
      <w:r>
        <w:rPr>
          <w:b/>
          <w:sz w:val="26"/>
          <w:szCs w:val="26"/>
        </w:rPr>
        <w:t xml:space="preserve">7. Требования к сопроводительной документации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Одновременно с товаром заказчику передаются: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сертификаты соответствия или декларации о соответствии на продукцию, подлежащую обязательному подтверждению соответствия;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паспорта изделий и инструкции по эксплуатации на русском языке;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гарантийные талоны с указанием даты начала гарантийного срока;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руководства по сборке для оборудования, поставляемого в разобранном виде.</w:t>
      </w:r>
    </w:p>
    <w:p>
      <w:pPr>
        <w:spacing w:before="240" w:after="120" w:line="264" w:lineRule="auto"/>
      </w:pPr>
      <w:r>
        <w:rPr>
          <w:b/>
          <w:sz w:val="26"/>
          <w:szCs w:val="26"/>
        </w:rPr>
        <w:t xml:space="preserve">8. Порядок приёмки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8.1. Приёмка осуществляется по количеству и качеству в соответствии со спецификацией к контракту.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8.2. Документ о приёмке формируется и подписывается усиленной квалифицированной электронной подписью в единой информационной системе в сфере закупок в порядке, установленном частью 13 статьи 94 Федерального закона № 44-ФЗ. Датой приёмки считается дата размещения в единой информационной системе документа о приёмке, подписанного заказчиком.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8.3. При обнаружении несоответствия заказчик формирует мотивированный отказ от подписания документа о приёмке с указанием выявленных недостатков и срока их устранения.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8.4. Приёмка поставки не включает отдельно организуемые заказчиком сборку, установку, крепление, монтаж и подключение. Недостатки товара, обнаруженные при последующей сборке или установке по инструкции изготовителя, фиксируются заказчиком и предъявляются поставщику в порядке, установленном контрактом и гарантией.</w:t>
      </w:r>
    </w:p>
    <w:p>
      <w:pPr>
        <w:spacing w:before="0" w:after="120" w:line="264" w:lineRule="auto"/>
      </w:pPr>
      <w:r>
        <w:t xml:space="preserve"> </w:t>
      </w:r>
    </w:p>
    <w:p>
      <w:pPr>
        <w:spacing w:before="240" w:after="0" w:line="264" w:lineRule="auto"/>
      </w:pPr>
      <w:r>
        <w:rPr>
          <w:sz w:val="24"/>
          <w:szCs w:val="24"/>
        </w:rPr>
        <w:t xml:space="preserve">Разработал: _____________________________ / __________________</w:t>
      </w:r>
    </w:p>
    <w:p>
      <w:pPr>
        <w:spacing w:before="0" w:after="120" w:line="264" w:lineRule="auto"/>
        <w:ind w:left="680"/>
      </w:pPr>
      <w:r>
        <w:rPr>
          <w:sz w:val="16"/>
          <w:szCs w:val="16"/>
        </w:rPr>
        <w:t xml:space="preserve">(должность, подпись)                                  (инициалы, фамилия)</w:t>
      </w:r>
    </w:p>
    <w:p>
      <w:pPr>
        <w:spacing w:before="160" w:after="0" w:line="264" w:lineRule="auto"/>
      </w:pPr>
      <w:r>
        <w:rPr>
          <w:sz w:val="24"/>
          <w:szCs w:val="24"/>
        </w:rPr>
        <w:t xml:space="preserve">Согласовано: ____________________________ / __________________</w:t>
      </w:r>
    </w:p>
    <w:p>
      <w:pPr>
        <w:spacing w:before="0" w:after="120" w:line="264" w:lineRule="auto"/>
        <w:ind w:left="680"/>
      </w:pPr>
      <w:r>
        <w:rPr>
          <w:sz w:val="16"/>
          <w:szCs w:val="16"/>
        </w:rPr>
        <w:t xml:space="preserve">(должность, подпись)                                  (инициалы, фамилия)</w:t>
      </w:r>
    </w:p>
    <w:sectPr>
      <w:pgSz w:w="11906" w:h="16838"/>
      <w:pgMar w:top="1134" w:right="850" w:bottom="1134" w:left="1134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4"/>
        <w:szCs w:val="24"/>
        <w:lang w:val="ru-RU"/>
      </w:rPr>
    </w:rPrDefault>
  </w:docDefaults>
  <w:style w:type="paragraph" w:default="1" w:styleId="Normal">
    <w:name w:val="Normal"/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