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«Студия мультипликации»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студии мультипликации для реализации программ художественной и технической направленности в рамках внеурочной деятельности.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25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Мультстанок для перекладной анимации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350 × 600 мм. Материал — ЛМДФ или берёзовая фанера толщиной не менее 15 мм. Рабочее стекло толщиной не менее 4 мм. Встроенный световой планшет со светодиодной подсветкой. Крепление для камеры в комплекте.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Мультстанок для объёмной анимации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700 × 600 × 400 мм. Материал — берёзовая фанера сорта не ниже 1/2, толщина не менее 15 мм. Регулируемое крепление камеры.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Световой планшет для рисования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Рабочая поверхность не менее 400 × 300 мм. Равномерная светодиодная подсветка, регулировка яркости.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осветительного оборудования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 источников света с регулировкой яркости и цветовой температуры. Штативы в комплекте.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Веб-камера или фотокамера для покадровой съёмки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Разрешение не менее 1920 × 1080. Совместимость с поставляемым программным обеспечением. Возможность фиксации фокуса и экспозиции.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Микрофон для записи озвучивания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Направленный или петличный. Разъём USB или 3,5 мм. Ветрозащита в комплекте.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Ноутбук для монтажа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Оперативная память не менее 8 ГБ, накопитель SSD не менее 240 ГБ. Совместимость с поставляемым ПО.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Программное обеспечение для покадровой анимации и монтажа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Русскоязычный интерфейс. Покадровая съёмка, наложение звука, экспорт не менее чем в 2 распространённых видеоформата. Совместимость с поставляемым оборудованием. Бессрочная лицензия не менее чем на 10 рабочих мест.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фонов и декораций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6 сменных фонов. Материал — плотный картон, ткань или пластик.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материалов для создания персонажей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Пластилин, бумага, фольга, проволока для каркасов. Расчёт не менее чем на 15 обучающихся.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для занятий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600 мм. Покрытие устойчиво к загрязнению и влажной уборке.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Стул ученический регулируемый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Номера мебели по таблице 6.2 СанПиН 1.2.3685-21 — не менее чем со 2 по 5 (высота сиденья 300–420 мм). Цветовая маркировка номера мебели.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15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12.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